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需求及技术要求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采购需求一览表</w:t>
      </w:r>
    </w:p>
    <w:tbl>
      <w:tblPr>
        <w:tblStyle w:val="7"/>
        <w:tblW w:w="964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45"/>
        <w:gridCol w:w="1115"/>
        <w:gridCol w:w="990"/>
        <w:gridCol w:w="750"/>
        <w:gridCol w:w="1446"/>
        <w:gridCol w:w="121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包别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划分</w:t>
            </w: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最高限价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单件产品最高限价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安庆市二院健康管理有限公司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宣传品采购项目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1个包</w:t>
            </w: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圆柱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笔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20000.00元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1元/支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20000.00元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1元/本</w:t>
            </w:r>
          </w:p>
        </w:tc>
        <w:tc>
          <w:tcPr>
            <w:tcW w:w="13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计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肆万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元整（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40000.00元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（一）报价要求：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供应商的报价应包括：人员费用、材料费用、印刷费用、运输费用、管理费及税金等为完成文件规定全部内容所需的一切应有费用。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（二）时间及地点要求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（1）时间要求：所有货物签订合同后20个日历天内完成供货及配送工作。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（2）交货地点：送至采购人指定地点。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（三）付款方式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全部物品到货验收合格后7个工作日内一次性完成支付。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（四）履约保证金：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中标金额的10%。验收合格后7个工作日内无息退还。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（六）验收方法及标准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按照双方签订的采购合同和技术要求及标准对每一环节、标准的履约情况进行验收。验收结束后，应当出具验收书，由双方共同签署。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三、技术要求及标准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（一）圆珠笔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圆珠笔的具体尺寸及其他标准（见示意图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（允许误差范围±2mm）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3114675" cy="1028700"/>
            <wp:effectExtent l="0" t="0" r="9525" b="0"/>
            <wp:docPr id="1" name="图片 1" descr="MTXX_4D2zk6QUxgODXjObdaYHDQoz1b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TXX_4D2zk6QUxgODXjObdaYHDQoz1b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触屏部分：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触屏部分的材质为硅胶头，要求灵敏度高、兼容性广。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笔芯部分：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笔芯规格为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0.5mm，用完可替换。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0" distR="0">
            <wp:extent cx="4253865" cy="1128395"/>
            <wp:effectExtent l="0" t="0" r="13335" b="14605"/>
            <wp:docPr id="1028" name="图片 3" descr="笔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3" descr="笔芯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1128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3.握笔部分：要呈三角形（见示意图4）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0" distR="0">
            <wp:extent cx="756920" cy="3376295"/>
            <wp:effectExtent l="0" t="0" r="5080" b="14605"/>
            <wp:docPr id="1029" name="图片 4" descr="未标题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未标题-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33769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LOGO及宣传标语部分（示意图1）：由中标人根据业主需求</w:t>
      </w: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自行设计，设计方案经业主同意后方可进行下一步制作。</w:t>
      </w:r>
    </w:p>
    <w:p>
      <w:pPr>
        <w:pStyle w:val="5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(二)笔记本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（1）封面及封底要求：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成品尺寸为210mm×140mm（允许误差范围±5mm）；封面采用157g铜版纸印刷，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封面印刷内容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由中标人根据业主需求</w:t>
      </w: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自行设计，设计方案经业主同意后方可进行下一步制作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（2）内页要求：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成品尺寸为210mm×140mm（允许误差范围±5mm）。内页第1、2、43、44页为彩色印刷，采用128g铜版纸，印刷内容；内页第3-42页采用80g双胶纸，行距为8㎜横线格，黑白印刷，内容相同。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0"/>
          <w:sz w:val="24"/>
          <w:szCs w:val="24"/>
          <w:lang w:val="en-US" w:eastAsia="zh-CN" w:bidi="ar-SA"/>
        </w:rPr>
        <w:t>（3）装订要求：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采用骑马钉装订。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四、样品要求：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样品要求：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各潜在供应商，请严格按照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圆珠笔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笔记本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的技术要求及标准提供样品各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1份（多提供的、同一样品提供两份及以上的均按无效标处理），评审时对各供应商提供的样品进行评定。圆珠笔及笔记本相关印刷内容在样品评审时不做要求。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样品所产生的所有费用，各供应商自行承担。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五、特别说明：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1.所提供的样品必须符合以上产品的要求、标准及设计元素有一项不符合要求的，按无效标处理。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2.采购需求中的图片只是为了更加清楚、更加形象的表达产品的形状及特征。各潜在供应商可根据采购要求、标准及设计元素，自行设计产品。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3.中标后，采购人在不改变其材质、不增加其成本等情况下，可以更改采购物品的颜色、排版等内容。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588AC"/>
    <w:multiLevelType w:val="singleLevel"/>
    <w:tmpl w:val="E18588A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6B87"/>
    <w:rsid w:val="38A303D9"/>
    <w:rsid w:val="3F2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样式3"/>
    <w:basedOn w:val="4"/>
    <w:next w:val="1"/>
    <w:qFormat/>
    <w:uiPriority w:val="0"/>
    <w:rPr>
      <w:rFonts w:ascii="Calibri Light" w:hAnsi="Calibri Light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2021-11-18T02:44:00Z</dcterms:created>
  <dc:creator>乞力马扎罗</dc:creator>
  <cp:lastModifiedBy>乞力马扎罗</cp:lastModifiedBy>
  <dcterms:modified xsi:type="dcterms:W3CDTF">2021-11-18T02:44:42Z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4EA6D1B0DE504EC984259931698F1ABD</vt:lpwstr>
  </property>
</Properties>
</file>